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20"/>
        <w:tblW w:w="15451" w:type="dxa"/>
        <w:tblLook w:val="04A0" w:firstRow="1" w:lastRow="0" w:firstColumn="1" w:lastColumn="0" w:noHBand="0" w:noVBand="1"/>
      </w:tblPr>
      <w:tblGrid>
        <w:gridCol w:w="986"/>
        <w:gridCol w:w="1446"/>
        <w:gridCol w:w="1253"/>
        <w:gridCol w:w="1639"/>
        <w:gridCol w:w="1447"/>
        <w:gridCol w:w="1446"/>
        <w:gridCol w:w="1447"/>
        <w:gridCol w:w="1447"/>
        <w:gridCol w:w="1446"/>
        <w:gridCol w:w="1446"/>
        <w:gridCol w:w="1448"/>
      </w:tblGrid>
      <w:tr w:rsidR="00E20FB2" w14:paraId="288D6033" w14:textId="77777777" w:rsidTr="00EE77F8">
        <w:trPr>
          <w:trHeight w:val="557"/>
        </w:trPr>
        <w:tc>
          <w:tcPr>
            <w:tcW w:w="986" w:type="dxa"/>
            <w:tcBorders>
              <w:top w:val="nil"/>
              <w:left w:val="nil"/>
            </w:tcBorders>
          </w:tcPr>
          <w:p w14:paraId="2A45B7BE" w14:textId="77777777" w:rsidR="00E20FB2" w:rsidRPr="00A96EF7" w:rsidRDefault="00E20FB2" w:rsidP="00AA0E4F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92D050"/>
          </w:tcPr>
          <w:p w14:paraId="176E5A1F" w14:textId="77777777" w:rsidR="00E20FB2" w:rsidRPr="00EE77F8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>Week 1</w:t>
            </w:r>
          </w:p>
          <w:p w14:paraId="5921570B" w14:textId="5391B234" w:rsidR="00E20FB2" w:rsidRPr="00EE77F8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92D050"/>
          </w:tcPr>
          <w:p w14:paraId="2B9F9D99" w14:textId="1F55647C" w:rsidR="00E20FB2" w:rsidRPr="00EE77F8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>Week 2</w:t>
            </w:r>
          </w:p>
        </w:tc>
        <w:tc>
          <w:tcPr>
            <w:tcW w:w="1639" w:type="dxa"/>
            <w:shd w:val="clear" w:color="auto" w:fill="92D050"/>
          </w:tcPr>
          <w:p w14:paraId="6243101A" w14:textId="3BB392E4" w:rsidR="00E20FB2" w:rsidRPr="00EE77F8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>Week 3</w:t>
            </w:r>
          </w:p>
        </w:tc>
        <w:tc>
          <w:tcPr>
            <w:tcW w:w="1447" w:type="dxa"/>
            <w:shd w:val="clear" w:color="auto" w:fill="92D050"/>
          </w:tcPr>
          <w:p w14:paraId="5D1AEA10" w14:textId="581D0744" w:rsidR="00E20FB2" w:rsidRPr="00EE77F8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>Week 4</w:t>
            </w:r>
          </w:p>
        </w:tc>
        <w:tc>
          <w:tcPr>
            <w:tcW w:w="1446" w:type="dxa"/>
            <w:shd w:val="clear" w:color="auto" w:fill="92D050"/>
          </w:tcPr>
          <w:p w14:paraId="6840E9DB" w14:textId="00D14643" w:rsidR="00E20FB2" w:rsidRPr="00EE77F8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>Week 5</w:t>
            </w:r>
          </w:p>
        </w:tc>
        <w:tc>
          <w:tcPr>
            <w:tcW w:w="1447" w:type="dxa"/>
            <w:shd w:val="clear" w:color="auto" w:fill="92D050"/>
          </w:tcPr>
          <w:p w14:paraId="2461786E" w14:textId="013C12EB" w:rsidR="00E20FB2" w:rsidRPr="00EE77F8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>Week 6</w:t>
            </w:r>
          </w:p>
        </w:tc>
        <w:tc>
          <w:tcPr>
            <w:tcW w:w="1447" w:type="dxa"/>
            <w:shd w:val="clear" w:color="auto" w:fill="92D050"/>
          </w:tcPr>
          <w:p w14:paraId="4FA6B55C" w14:textId="01C6022B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7</w:t>
            </w:r>
          </w:p>
        </w:tc>
        <w:tc>
          <w:tcPr>
            <w:tcW w:w="1446" w:type="dxa"/>
            <w:shd w:val="clear" w:color="auto" w:fill="92D050"/>
          </w:tcPr>
          <w:p w14:paraId="4988733F" w14:textId="77BEDD82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8</w:t>
            </w:r>
          </w:p>
        </w:tc>
        <w:tc>
          <w:tcPr>
            <w:tcW w:w="1446" w:type="dxa"/>
            <w:shd w:val="clear" w:color="auto" w:fill="92D050"/>
          </w:tcPr>
          <w:p w14:paraId="12BA1626" w14:textId="3E77A7A1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9</w:t>
            </w:r>
          </w:p>
        </w:tc>
        <w:tc>
          <w:tcPr>
            <w:tcW w:w="1448" w:type="dxa"/>
            <w:shd w:val="clear" w:color="auto" w:fill="92D050"/>
          </w:tcPr>
          <w:p w14:paraId="07F0769E" w14:textId="138F0591" w:rsidR="00E20FB2" w:rsidRPr="00A96EF7" w:rsidRDefault="00E20FB2" w:rsidP="00AA0E4F">
            <w:pPr>
              <w:jc w:val="center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A96EF7">
              <w:rPr>
                <w:rFonts w:ascii="Twinkl" w:hAnsi="Twinkl"/>
                <w:color w:val="000000" w:themeColor="text1"/>
                <w:sz w:val="20"/>
                <w:szCs w:val="20"/>
              </w:rPr>
              <w:t>Week 10</w:t>
            </w:r>
          </w:p>
        </w:tc>
      </w:tr>
      <w:tr w:rsidR="00545251" w:rsidRPr="00933D17" w14:paraId="1D540B62" w14:textId="77777777" w:rsidTr="00EE77F8">
        <w:trPr>
          <w:cantSplit/>
          <w:trHeight w:val="2651"/>
        </w:trPr>
        <w:tc>
          <w:tcPr>
            <w:tcW w:w="986" w:type="dxa"/>
            <w:shd w:val="clear" w:color="auto" w:fill="92D050"/>
            <w:textDirection w:val="btLr"/>
          </w:tcPr>
          <w:p w14:paraId="52B04052" w14:textId="2A3B2678" w:rsidR="00545251" w:rsidRPr="00A96EF7" w:rsidRDefault="00545251" w:rsidP="00AA0E4F">
            <w:pPr>
              <w:ind w:left="113" w:right="113"/>
              <w:jc w:val="center"/>
              <w:rPr>
                <w:rFonts w:ascii="Twinkl" w:hAnsi="Twinkl"/>
                <w:sz w:val="20"/>
                <w:szCs w:val="20"/>
              </w:rPr>
            </w:pPr>
            <w:r w:rsidRPr="00A96EF7">
              <w:rPr>
                <w:rFonts w:ascii="Twinkl" w:hAnsi="Twinkl"/>
                <w:sz w:val="20"/>
                <w:szCs w:val="20"/>
              </w:rPr>
              <w:t>Autumn</w:t>
            </w:r>
          </w:p>
        </w:tc>
        <w:tc>
          <w:tcPr>
            <w:tcW w:w="5785" w:type="dxa"/>
            <w:gridSpan w:val="4"/>
          </w:tcPr>
          <w:p w14:paraId="20DD61E1" w14:textId="734A7297" w:rsidR="00545251" w:rsidRPr="00EE77F8" w:rsidRDefault="00545251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EE77F8">
              <w:rPr>
                <w:rFonts w:ascii="Twinkl" w:hAnsi="Twinkl"/>
                <w:b/>
                <w:color w:val="92D050"/>
                <w:sz w:val="20"/>
                <w:szCs w:val="20"/>
              </w:rPr>
              <w:t>Getting Ready to Write</w:t>
            </w:r>
          </w:p>
          <w:p w14:paraId="341A8806" w14:textId="15179172" w:rsidR="006421B8" w:rsidRPr="00EE77F8" w:rsidRDefault="006421B8" w:rsidP="006421B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>Using relative clauses beginning with who, which, where, when, whose, that or with an implied (</w:t>
            </w:r>
            <w:proofErr w:type="spellStart"/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>ie</w:t>
            </w:r>
            <w:proofErr w:type="spellEnd"/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 omitted) relative pronoun </w:t>
            </w:r>
          </w:p>
          <w:p w14:paraId="78E12B2A" w14:textId="44337CA2" w:rsidR="006421B8" w:rsidRPr="00EE77F8" w:rsidRDefault="006421B8" w:rsidP="006421B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Using modal verbs to indicate degrees of possibility </w:t>
            </w:r>
          </w:p>
          <w:p w14:paraId="7141D40E" w14:textId="0E22AB0D" w:rsidR="006421B8" w:rsidRPr="00EE77F8" w:rsidRDefault="006421B8" w:rsidP="006421B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Indicating degrees of possibility using modal verbs [for example, might, should, will, must] </w:t>
            </w:r>
          </w:p>
          <w:p w14:paraId="66CD129E" w14:textId="77777777" w:rsidR="00EE77F8" w:rsidRPr="00EE77F8" w:rsidRDefault="006421B8" w:rsidP="006421B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Using adverbs to indicate degrees of possibility </w:t>
            </w:r>
          </w:p>
          <w:p w14:paraId="5C7B144A" w14:textId="2D0D0031" w:rsidR="006421B8" w:rsidRPr="00EE77F8" w:rsidRDefault="006421B8" w:rsidP="006421B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Indicating degrees of possibility using adverbs [for example, perhaps, surely] </w:t>
            </w:r>
          </w:p>
          <w:p w14:paraId="4B3686F9" w14:textId="77777777" w:rsidR="00EE77F8" w:rsidRPr="00EE77F8" w:rsidRDefault="006421B8" w:rsidP="006421B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Using brackets, dashes or commas to indicate parenthesis </w:t>
            </w:r>
          </w:p>
          <w:p w14:paraId="66A51198" w14:textId="05E4E663" w:rsidR="006421B8" w:rsidRPr="00EE77F8" w:rsidRDefault="006421B8" w:rsidP="006421B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Using expanded noun phrases to convey complicated information concisely </w:t>
            </w:r>
          </w:p>
          <w:p w14:paraId="65A0D77F" w14:textId="396714F8" w:rsidR="006421B8" w:rsidRPr="00EE77F8" w:rsidRDefault="006421B8" w:rsidP="006421B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Using the perfect form of verbs to mark relationships of time and cause </w:t>
            </w:r>
          </w:p>
          <w:p w14:paraId="667816D3" w14:textId="429C3FFE" w:rsidR="006421B8" w:rsidRPr="00EE77F8" w:rsidRDefault="006421B8" w:rsidP="006421B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Using commas to clarify meaning or avoid ambiguity in writing </w:t>
            </w:r>
          </w:p>
          <w:p w14:paraId="43AD9AE1" w14:textId="0ADD9FDC" w:rsidR="00545251" w:rsidRPr="00EE77F8" w:rsidRDefault="00545251" w:rsidP="00545251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gridSpan w:val="2"/>
          </w:tcPr>
          <w:p w14:paraId="7D08AB88" w14:textId="4F50F060" w:rsidR="00545251" w:rsidRPr="00EE77F8" w:rsidRDefault="00EE77F8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EE77F8">
              <w:rPr>
                <w:rFonts w:ascii="Twinkl" w:hAnsi="Twinkl"/>
                <w:b/>
                <w:color w:val="92D050"/>
                <w:sz w:val="20"/>
                <w:szCs w:val="20"/>
              </w:rPr>
              <w:t>Synonyms and antonyms</w:t>
            </w:r>
          </w:p>
          <w:p w14:paraId="03A21072" w14:textId="6E44A508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How words are related by meaning as synonyms and antonyms [for example, big, large, little] </w:t>
            </w:r>
          </w:p>
          <w:p w14:paraId="485286FA" w14:textId="07C6AB14" w:rsidR="00545251" w:rsidRPr="00EE77F8" w:rsidRDefault="00545251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shd w:val="clear" w:color="auto" w:fill="FFFFFF" w:themeFill="background1"/>
          </w:tcPr>
          <w:p w14:paraId="2D41E659" w14:textId="11BEDA9E" w:rsidR="00545251" w:rsidRPr="00EE77F8" w:rsidRDefault="00EE77F8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EE77F8">
              <w:rPr>
                <w:rFonts w:ascii="Twinkl" w:hAnsi="Twinkl"/>
                <w:b/>
                <w:color w:val="92D050"/>
                <w:sz w:val="20"/>
                <w:szCs w:val="20"/>
              </w:rPr>
              <w:t>Word classes</w:t>
            </w:r>
          </w:p>
          <w:p w14:paraId="514B87F4" w14:textId="4B229C0E" w:rsidR="00545251" w:rsidRPr="00EE77F8" w:rsidRDefault="00EE77F8" w:rsidP="00545251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>Knowing object and subject</w:t>
            </w:r>
          </w:p>
          <w:p w14:paraId="601AF111" w14:textId="77777777" w:rsidR="00545251" w:rsidRPr="00EE77F8" w:rsidRDefault="00545251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</w:p>
          <w:p w14:paraId="10D4F1D6" w14:textId="337E8ADD" w:rsidR="00545251" w:rsidRPr="00EE77F8" w:rsidRDefault="00545251" w:rsidP="00980573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shd w:val="clear" w:color="auto" w:fill="FFFFFF" w:themeFill="background1"/>
          </w:tcPr>
          <w:p w14:paraId="6872DC54" w14:textId="58AEA725" w:rsidR="00545251" w:rsidRPr="00EE77F8" w:rsidRDefault="00EE77F8" w:rsidP="00545251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EE77F8">
              <w:rPr>
                <w:rFonts w:ascii="Twinkl" w:hAnsi="Twinkl"/>
                <w:b/>
                <w:color w:val="92D050"/>
                <w:sz w:val="20"/>
                <w:szCs w:val="20"/>
              </w:rPr>
              <w:t>Subjunctive form</w:t>
            </w:r>
          </w:p>
          <w:p w14:paraId="29DDAAE2" w14:textId="0767FE6C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Recognising vocabulary and structures that is appropriate for formal speech and writing, including subjunctive forms </w:t>
            </w:r>
          </w:p>
          <w:p w14:paraId="37F1705A" w14:textId="30CDA21E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The difference between vocabulary typical of informal speech and vocabulary appropriate for formal speech and writing [for example, find out – discover; ask for – request; go in – enter] </w:t>
            </w:r>
          </w:p>
          <w:p w14:paraId="446FF4C7" w14:textId="5BD125D9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The difference between structures typical of informal speech and structures appropriate for formal speech and writing [for example, the use of question tags: He’s your friend, isn’t </w:t>
            </w:r>
            <w:proofErr w:type="gramStart"/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>he?,</w:t>
            </w:r>
            <w:proofErr w:type="gramEnd"/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 or the use of subjunctive forms such as If I were or Were they to come in some very formal writing and speech] </w:t>
            </w:r>
          </w:p>
          <w:p w14:paraId="0117D08D" w14:textId="750A6845" w:rsidR="00545251" w:rsidRPr="00EE77F8" w:rsidRDefault="00EE77F8" w:rsidP="00545251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Recognising subjunctive forms </w:t>
            </w:r>
          </w:p>
        </w:tc>
      </w:tr>
      <w:tr w:rsidR="00EE77F8" w:rsidRPr="00933D17" w14:paraId="1A0078B0" w14:textId="77777777" w:rsidTr="00FF17BD">
        <w:trPr>
          <w:cantSplit/>
          <w:trHeight w:val="3289"/>
        </w:trPr>
        <w:tc>
          <w:tcPr>
            <w:tcW w:w="986" w:type="dxa"/>
            <w:shd w:val="clear" w:color="auto" w:fill="92D050"/>
            <w:textDirection w:val="btLr"/>
          </w:tcPr>
          <w:p w14:paraId="42436003" w14:textId="006F83F4" w:rsidR="00EE77F8" w:rsidRPr="00A96EF7" w:rsidRDefault="00EE77F8" w:rsidP="00545251">
            <w:pPr>
              <w:ind w:left="113" w:right="113"/>
              <w:jc w:val="center"/>
              <w:rPr>
                <w:rFonts w:ascii="Twinkl" w:hAnsi="Twinkl"/>
                <w:sz w:val="20"/>
                <w:szCs w:val="20"/>
              </w:rPr>
            </w:pPr>
            <w:r w:rsidRPr="00A96EF7">
              <w:rPr>
                <w:rFonts w:ascii="Twinkl" w:hAnsi="Twinkl"/>
                <w:sz w:val="20"/>
                <w:szCs w:val="20"/>
              </w:rPr>
              <w:lastRenderedPageBreak/>
              <w:t>Spring</w:t>
            </w:r>
          </w:p>
        </w:tc>
        <w:tc>
          <w:tcPr>
            <w:tcW w:w="2699" w:type="dxa"/>
            <w:gridSpan w:val="2"/>
          </w:tcPr>
          <w:p w14:paraId="218F939C" w14:textId="7082D4EF" w:rsidR="00EE77F8" w:rsidRPr="00EE77F8" w:rsidRDefault="00EE77F8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EE77F8">
              <w:rPr>
                <w:rFonts w:ascii="Twinkl" w:hAnsi="Twinkl"/>
                <w:b/>
                <w:color w:val="92D050"/>
                <w:sz w:val="20"/>
                <w:szCs w:val="20"/>
              </w:rPr>
              <w:t>Punctuation</w:t>
            </w:r>
          </w:p>
          <w:p w14:paraId="044D368E" w14:textId="607791CB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Using a colon to introduce a list </w:t>
            </w:r>
          </w:p>
          <w:p w14:paraId="21329ACA" w14:textId="0CB98BEF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Use of the colon to introduce a list </w:t>
            </w:r>
          </w:p>
          <w:p w14:paraId="2D68E983" w14:textId="4DD67784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Use of semi- colons within lists </w:t>
            </w:r>
          </w:p>
          <w:p w14:paraId="2CD30DEC" w14:textId="55C39248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Punctuating bullet points consistently </w:t>
            </w:r>
          </w:p>
          <w:p w14:paraId="37C9ED94" w14:textId="4ACFBB68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Punctuation of bullet points to list information </w:t>
            </w:r>
          </w:p>
          <w:p w14:paraId="03BF924E" w14:textId="6A381367" w:rsidR="00EE77F8" w:rsidRPr="00EE77F8" w:rsidRDefault="00EE77F8" w:rsidP="00545251">
            <w:pPr>
              <w:pStyle w:val="NormalWeb"/>
              <w:shd w:val="clear" w:color="auto" w:fill="FFFFFF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14:paraId="33C8B4D3" w14:textId="61F1681D" w:rsidR="00EE77F8" w:rsidRPr="00EE77F8" w:rsidRDefault="00EE77F8" w:rsidP="00545251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EE77F8">
              <w:rPr>
                <w:rFonts w:ascii="Twinkl" w:hAnsi="Twinkl"/>
                <w:b/>
                <w:color w:val="92D050"/>
                <w:sz w:val="20"/>
                <w:szCs w:val="20"/>
              </w:rPr>
              <w:t>Active and Passive</w:t>
            </w:r>
          </w:p>
          <w:p w14:paraId="686CFA76" w14:textId="1D12079C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Using passive verbs to affect the presentation of information in a sentence </w:t>
            </w:r>
          </w:p>
          <w:p w14:paraId="37D16ECA" w14:textId="2F49F187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Use of the passive to affect the presentation of information in a sentence [for example, I broke the window in the greenhouse versus Th e window in the greenhouse was broken (by me)] </w:t>
            </w:r>
          </w:p>
          <w:p w14:paraId="401C68E7" w14:textId="0AAB4B1B" w:rsidR="00EE77F8" w:rsidRPr="00EE77F8" w:rsidRDefault="00EE77F8" w:rsidP="00545251">
            <w:pPr>
              <w:pStyle w:val="NormalWeb"/>
              <w:shd w:val="clear" w:color="auto" w:fill="FFFFFF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893" w:type="dxa"/>
            <w:gridSpan w:val="2"/>
          </w:tcPr>
          <w:p w14:paraId="7ACA6E54" w14:textId="77777777" w:rsidR="00EE77F8" w:rsidRPr="00EE77F8" w:rsidRDefault="00EE77F8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EE77F8">
              <w:rPr>
                <w:rFonts w:ascii="Twinkl" w:hAnsi="Twinkl"/>
                <w:b/>
                <w:color w:val="92D050"/>
                <w:sz w:val="20"/>
                <w:szCs w:val="20"/>
              </w:rPr>
              <w:t>Formal and Informal</w:t>
            </w:r>
          </w:p>
          <w:p w14:paraId="08D303E3" w14:textId="63C4C830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Recognising vocabulary and structures that is appropriate for formal speech and writing, including subjunctive forms </w:t>
            </w:r>
          </w:p>
          <w:p w14:paraId="2248DC94" w14:textId="448B8A07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The difference between vocabulary typical of informal speech and vocabulary appropriate for formal speech and writing [for example, find out – discover; ask for – request; go in – enter] </w:t>
            </w:r>
          </w:p>
          <w:p w14:paraId="6042EDAF" w14:textId="4C476311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The difference between structures typical of informal speech and structures appropriate for formal speech and writing [for example, the use of question tags: He’s your friend, isn’t </w:t>
            </w:r>
            <w:proofErr w:type="gramStart"/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>he?,</w:t>
            </w:r>
            <w:proofErr w:type="gramEnd"/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 or the use of subjunctive forms such as If I were or Were they to come in some very formal writing and speech] </w:t>
            </w:r>
          </w:p>
          <w:p w14:paraId="605EF0CE" w14:textId="19CD79E8" w:rsidR="00EE77F8" w:rsidRPr="00EE77F8" w:rsidRDefault="00EE77F8" w:rsidP="00AA0E4F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</w:p>
        </w:tc>
        <w:tc>
          <w:tcPr>
            <w:tcW w:w="2893" w:type="dxa"/>
            <w:gridSpan w:val="2"/>
          </w:tcPr>
          <w:p w14:paraId="66A0D5EF" w14:textId="77777777" w:rsidR="00EE77F8" w:rsidRDefault="00EE77F8" w:rsidP="00EE77F8">
            <w:pPr>
              <w:pStyle w:val="NormalWeb"/>
              <w:shd w:val="clear" w:color="auto" w:fill="FFFFFF"/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EE77F8">
              <w:rPr>
                <w:rFonts w:ascii="Twinkl" w:hAnsi="Twinkl"/>
                <w:b/>
                <w:color w:val="92D050"/>
                <w:sz w:val="20"/>
                <w:szCs w:val="20"/>
              </w:rPr>
              <w:t>Punctuation</w:t>
            </w:r>
          </w:p>
          <w:p w14:paraId="3818424B" w14:textId="2CF5FF40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Using semi-colons to mark boundaries between independent clauses </w:t>
            </w:r>
          </w:p>
          <w:p w14:paraId="15B3F644" w14:textId="6DF33B3D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Using colons to mark boundaries between independent clauses </w:t>
            </w:r>
          </w:p>
          <w:p w14:paraId="33FB38F7" w14:textId="24544792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Using dashes to mark boundaries between independent clauses </w:t>
            </w:r>
          </w:p>
          <w:p w14:paraId="47C5204A" w14:textId="504A8401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Use of the semi-colon to mark the boundary between independent clauses [for example, </w:t>
            </w:r>
            <w:proofErr w:type="gramStart"/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>It’s</w:t>
            </w:r>
            <w:proofErr w:type="gramEnd"/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 raining; I’m fed up] </w:t>
            </w:r>
          </w:p>
          <w:p w14:paraId="70749870" w14:textId="682D7044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Use of the colon to mark the boundary between independent clauses </w:t>
            </w:r>
          </w:p>
          <w:p w14:paraId="4408ED8F" w14:textId="47F41A2A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Use of the dash to mark the boundary between independent clauses </w:t>
            </w:r>
          </w:p>
          <w:p w14:paraId="1C6C54A0" w14:textId="7EE3076D" w:rsidR="00EE77F8" w:rsidRPr="00EE77F8" w:rsidRDefault="00EE77F8" w:rsidP="00EE77F8">
            <w:pPr>
              <w:pStyle w:val="NormalWeb"/>
              <w:shd w:val="clear" w:color="auto" w:fill="FFFFFF"/>
              <w:jc w:val="center"/>
              <w:rPr>
                <w:rFonts w:ascii="Twinkl" w:hAnsi="Twinkl"/>
                <w:b/>
                <w:sz w:val="20"/>
                <w:szCs w:val="20"/>
              </w:rPr>
            </w:pPr>
          </w:p>
        </w:tc>
        <w:tc>
          <w:tcPr>
            <w:tcW w:w="2894" w:type="dxa"/>
            <w:gridSpan w:val="2"/>
          </w:tcPr>
          <w:p w14:paraId="3A55F5A2" w14:textId="77777777" w:rsidR="00EE77F8" w:rsidRDefault="00EE77F8" w:rsidP="00EE77F8">
            <w:pPr>
              <w:pStyle w:val="NormalWeb"/>
              <w:shd w:val="clear" w:color="auto" w:fill="FFFFFF"/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>
              <w:rPr>
                <w:rFonts w:ascii="Twinkl" w:hAnsi="Twinkl"/>
                <w:b/>
                <w:color w:val="92D050"/>
                <w:sz w:val="20"/>
                <w:szCs w:val="20"/>
              </w:rPr>
              <w:t>Hyphens</w:t>
            </w:r>
          </w:p>
          <w:p w14:paraId="6AC3E2C6" w14:textId="1455B4CA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2"/>
                <w:szCs w:val="22"/>
              </w:rPr>
              <w:t>(</w:t>
            </w: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Using hyphens to avoid ambiguity </w:t>
            </w:r>
          </w:p>
          <w:p w14:paraId="5B935C9F" w14:textId="08DD15F9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 xml:space="preserve">How hyphens can be used to avoid ambiguity [for example, man eating </w:t>
            </w: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>s</w:t>
            </w: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t>hark versus man- eating shark,</w:t>
            </w:r>
            <w:r w:rsidRPr="00EE77F8">
              <w:rPr>
                <w:rFonts w:ascii="Twinkl" w:hAnsi="Twinkl"/>
                <w:color w:val="000000" w:themeColor="text1"/>
                <w:sz w:val="20"/>
                <w:szCs w:val="20"/>
              </w:rPr>
              <w:br/>
              <w:t xml:space="preserve">or recover versus re- cover] </w:t>
            </w:r>
          </w:p>
          <w:p w14:paraId="6971AAFE" w14:textId="61B6BBF8" w:rsidR="00EE77F8" w:rsidRPr="00545251" w:rsidRDefault="00EE77F8" w:rsidP="00EE77F8">
            <w:pPr>
              <w:pStyle w:val="NormalWeb"/>
              <w:shd w:val="clear" w:color="auto" w:fill="FFFFFF"/>
              <w:jc w:val="center"/>
              <w:rPr>
                <w:rFonts w:ascii="Twinkl" w:hAnsi="Twinkl"/>
                <w:sz w:val="20"/>
                <w:szCs w:val="20"/>
              </w:rPr>
            </w:pPr>
          </w:p>
        </w:tc>
      </w:tr>
      <w:tr w:rsidR="00EE77F8" w:rsidRPr="00933D17" w14:paraId="0693F388" w14:textId="77777777" w:rsidTr="00700C3B">
        <w:trPr>
          <w:cantSplit/>
          <w:trHeight w:val="2258"/>
        </w:trPr>
        <w:tc>
          <w:tcPr>
            <w:tcW w:w="986" w:type="dxa"/>
            <w:shd w:val="clear" w:color="auto" w:fill="92D050"/>
            <w:textDirection w:val="btLr"/>
          </w:tcPr>
          <w:p w14:paraId="3848E55F" w14:textId="706AFDA6" w:rsidR="00EE77F8" w:rsidRPr="00A96EF7" w:rsidRDefault="00EE77F8" w:rsidP="00AA0E4F">
            <w:pPr>
              <w:ind w:left="113" w:right="113"/>
              <w:jc w:val="center"/>
              <w:rPr>
                <w:rFonts w:ascii="Twinkl" w:hAnsi="Twinkl"/>
                <w:sz w:val="20"/>
                <w:szCs w:val="20"/>
              </w:rPr>
            </w:pPr>
            <w:r w:rsidRPr="00A96EF7">
              <w:rPr>
                <w:rFonts w:ascii="Twinkl" w:hAnsi="Twinkl"/>
                <w:sz w:val="20"/>
                <w:szCs w:val="20"/>
              </w:rPr>
              <w:t>Summer</w:t>
            </w:r>
          </w:p>
        </w:tc>
        <w:tc>
          <w:tcPr>
            <w:tcW w:w="5785" w:type="dxa"/>
            <w:gridSpan w:val="4"/>
          </w:tcPr>
          <w:p w14:paraId="74C9C962" w14:textId="728F0FDF" w:rsidR="00EE77F8" w:rsidRPr="00EE77F8" w:rsidRDefault="00EE77F8" w:rsidP="00AA0E4F">
            <w:pPr>
              <w:jc w:val="center"/>
              <w:rPr>
                <w:rFonts w:ascii="Twinkl" w:hAnsi="Twinkl"/>
                <w:b/>
                <w:color w:val="000000" w:themeColor="text1"/>
                <w:sz w:val="20"/>
                <w:szCs w:val="20"/>
              </w:rPr>
            </w:pPr>
            <w:r w:rsidRPr="00EE77F8">
              <w:rPr>
                <w:rFonts w:ascii="Twinkl" w:hAnsi="Twinkl"/>
                <w:b/>
                <w:color w:val="92D050"/>
                <w:sz w:val="20"/>
                <w:szCs w:val="20"/>
              </w:rPr>
              <w:t>Revision and SATS</w:t>
            </w:r>
          </w:p>
          <w:p w14:paraId="1FC876C0" w14:textId="26C182FB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  <w:tc>
          <w:tcPr>
            <w:tcW w:w="8680" w:type="dxa"/>
            <w:gridSpan w:val="6"/>
          </w:tcPr>
          <w:p w14:paraId="24EEC4D9" w14:textId="3A5F74CD" w:rsidR="00EE77F8" w:rsidRPr="00EE77F8" w:rsidRDefault="00EE77F8" w:rsidP="00EE77F8">
            <w:pPr>
              <w:jc w:val="center"/>
              <w:rPr>
                <w:rFonts w:ascii="Twinkl" w:hAnsi="Twinkl"/>
                <w:b/>
                <w:color w:val="92D050"/>
                <w:sz w:val="20"/>
                <w:szCs w:val="20"/>
              </w:rPr>
            </w:pPr>
            <w:r w:rsidRPr="00EE77F8">
              <w:rPr>
                <w:rFonts w:ascii="Twinkl" w:hAnsi="Twinkl"/>
                <w:b/>
                <w:color w:val="92D050"/>
                <w:sz w:val="20"/>
                <w:szCs w:val="20"/>
              </w:rPr>
              <w:t>Cohesion and consolidation</w:t>
            </w:r>
          </w:p>
          <w:p w14:paraId="1D5796FF" w14:textId="77777777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sz w:val="20"/>
                <w:szCs w:val="20"/>
              </w:rPr>
            </w:pPr>
            <w:r w:rsidRPr="00EE77F8">
              <w:rPr>
                <w:rFonts w:ascii="Twinkl" w:hAnsi="Twinkl"/>
                <w:sz w:val="20"/>
                <w:szCs w:val="20"/>
              </w:rPr>
              <w:t xml:space="preserve">Linking ideas across paragraphs using a wider range of cohesive devices: repetition of a word or phrase, grammatical connections [for example, the use of adverbials such as on the other hand, in contrast, or as a consequence], and ellipsis </w:t>
            </w:r>
          </w:p>
          <w:p w14:paraId="44486F15" w14:textId="77777777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sz w:val="20"/>
                <w:szCs w:val="20"/>
              </w:rPr>
            </w:pPr>
            <w:r w:rsidRPr="00EE77F8">
              <w:rPr>
                <w:rFonts w:ascii="Twinkl" w:hAnsi="Twinkl"/>
                <w:sz w:val="20"/>
                <w:szCs w:val="20"/>
              </w:rPr>
              <w:t xml:space="preserve">Layout devices [for example, headings, sub-headings, columns, bullets, or tables, to structure text] </w:t>
            </w:r>
          </w:p>
          <w:p w14:paraId="6D020F11" w14:textId="2EB5F227" w:rsidR="00EE77F8" w:rsidRPr="00EE77F8" w:rsidRDefault="00EE77F8" w:rsidP="00EE77F8">
            <w:pPr>
              <w:pStyle w:val="NormalWeb"/>
              <w:shd w:val="clear" w:color="auto" w:fill="FFFFFF"/>
              <w:rPr>
                <w:rFonts w:ascii="Twinkl" w:hAnsi="Twinkl"/>
                <w:sz w:val="20"/>
                <w:szCs w:val="20"/>
              </w:rPr>
            </w:pPr>
            <w:r w:rsidRPr="00EE77F8">
              <w:rPr>
                <w:rFonts w:ascii="Twinkl" w:hAnsi="Twinkl"/>
                <w:sz w:val="20"/>
                <w:szCs w:val="20"/>
              </w:rPr>
              <w:t>Terminology for pupils: • Ellipsis</w:t>
            </w:r>
          </w:p>
        </w:tc>
      </w:tr>
    </w:tbl>
    <w:p w14:paraId="5551D4D3" w14:textId="6D565483" w:rsidR="00E20FB2" w:rsidRPr="00E20FB2" w:rsidRDefault="00EE77F8" w:rsidP="00AA0E4F">
      <w:pPr>
        <w:rPr>
          <w:rFonts w:ascii="Twinkl" w:hAnsi="Twinkl"/>
        </w:rPr>
      </w:pPr>
      <w:proofErr w:type="spellStart"/>
      <w:r w:rsidRPr="00AA0E4F">
        <w:rPr>
          <w:rFonts w:ascii="Twinkl" w:hAnsi="Twinkl"/>
        </w:rPr>
        <w:t>Rodmersham</w:t>
      </w:r>
      <w:proofErr w:type="spellEnd"/>
      <w:r w:rsidRPr="00AA0E4F">
        <w:rPr>
          <w:rFonts w:ascii="Twinkl" w:hAnsi="Twinkl"/>
        </w:rPr>
        <w:t xml:space="preserve"> </w:t>
      </w:r>
      <w:proofErr w:type="gramStart"/>
      <w:r w:rsidRPr="00AA0E4F">
        <w:rPr>
          <w:rFonts w:ascii="Twinkl" w:hAnsi="Twinkl"/>
        </w:rPr>
        <w:t>School</w:t>
      </w:r>
      <w:r>
        <w:rPr>
          <w:rFonts w:ascii="Twinkl" w:hAnsi="Twinkl"/>
        </w:rPr>
        <w:t xml:space="preserve">  </w:t>
      </w:r>
      <w:r w:rsidRPr="00AA0E4F">
        <w:rPr>
          <w:rFonts w:ascii="Twinkl" w:hAnsi="Twinkl"/>
        </w:rPr>
        <w:t>Grammar</w:t>
      </w:r>
      <w:proofErr w:type="gramEnd"/>
      <w:r w:rsidRPr="00AA0E4F">
        <w:rPr>
          <w:rFonts w:ascii="Twinkl" w:hAnsi="Twinkl"/>
        </w:rPr>
        <w:t xml:space="preserve"> Scheme of Work Year </w:t>
      </w:r>
      <w:r>
        <w:rPr>
          <w:rFonts w:ascii="Twinkl" w:hAnsi="Twinkl"/>
        </w:rPr>
        <w:t>6</w:t>
      </w:r>
      <w:bookmarkStart w:id="0" w:name="_GoBack"/>
      <w:bookmarkEnd w:id="0"/>
    </w:p>
    <w:sectPr w:rsidR="00E20FB2" w:rsidRPr="00E20FB2" w:rsidSect="00E20FB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B2"/>
    <w:rsid w:val="000D3185"/>
    <w:rsid w:val="002F7B3C"/>
    <w:rsid w:val="003F5E19"/>
    <w:rsid w:val="004B76E8"/>
    <w:rsid w:val="004E1B52"/>
    <w:rsid w:val="005409E3"/>
    <w:rsid w:val="00545251"/>
    <w:rsid w:val="006421B8"/>
    <w:rsid w:val="00783C1A"/>
    <w:rsid w:val="00933D17"/>
    <w:rsid w:val="00980573"/>
    <w:rsid w:val="009870DF"/>
    <w:rsid w:val="00A029BA"/>
    <w:rsid w:val="00A96EF7"/>
    <w:rsid w:val="00AA0E4F"/>
    <w:rsid w:val="00B276CF"/>
    <w:rsid w:val="00B97E23"/>
    <w:rsid w:val="00E20FB2"/>
    <w:rsid w:val="00E80FFA"/>
    <w:rsid w:val="00EE6295"/>
    <w:rsid w:val="00EE77F8"/>
    <w:rsid w:val="00F24E17"/>
    <w:rsid w:val="00F5608B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98F8"/>
  <w15:chartTrackingRefBased/>
  <w15:docId w15:val="{563E3744-B493-9546-B023-4C6A95F3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4E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4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2019-06-20T17:13:00Z</dcterms:created>
  <dcterms:modified xsi:type="dcterms:W3CDTF">2019-06-20T17:13:00Z</dcterms:modified>
</cp:coreProperties>
</file>